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sz w:val="32"/>
          <w:szCs w:val="40"/>
          <w:lang w:val="en-US" w:eastAsia="zh-CN"/>
        </w:rPr>
      </w:pPr>
      <w:r>
        <w:rPr>
          <w:rFonts w:hint="eastAsia"/>
          <w:sz w:val="32"/>
          <w:szCs w:val="40"/>
          <w:lang w:val="en-US" w:eastAsia="zh-CN"/>
        </w:rPr>
        <w:t>山西省第35次铸造会议会议报道</w:t>
      </w:r>
    </w:p>
    <w:p>
      <w:pPr>
        <w:jc w:val="both"/>
        <w:rPr>
          <w:rFonts w:hint="eastAsia"/>
          <w:sz w:val="28"/>
          <w:szCs w:val="36"/>
          <w:lang w:val="en-US" w:eastAsia="zh-CN"/>
        </w:rPr>
      </w:pPr>
      <w:r>
        <w:rPr>
          <w:rFonts w:hint="eastAsia"/>
          <w:sz w:val="32"/>
          <w:szCs w:val="40"/>
          <w:lang w:val="en-US" w:eastAsia="zh-CN"/>
        </w:rPr>
        <w:t xml:space="preserve">   </w:t>
      </w:r>
      <w:r>
        <w:rPr>
          <w:rFonts w:hint="eastAsia"/>
          <w:sz w:val="24"/>
          <w:szCs w:val="32"/>
          <w:lang w:val="en-US" w:eastAsia="zh-CN"/>
        </w:rPr>
        <w:t xml:space="preserve"> </w:t>
      </w:r>
      <w:r>
        <w:rPr>
          <w:rFonts w:hint="eastAsia"/>
          <w:sz w:val="28"/>
          <w:szCs w:val="36"/>
          <w:lang w:val="en-US" w:eastAsia="zh-CN"/>
        </w:rPr>
        <w:t>金秋八月，清凉大同，由山西省机械工程学会铸造专业委员会</w:t>
      </w:r>
    </w:p>
    <w:p>
      <w:pPr>
        <w:jc w:val="both"/>
        <w:rPr>
          <w:rFonts w:hint="eastAsia"/>
          <w:sz w:val="28"/>
          <w:szCs w:val="36"/>
          <w:lang w:val="en-US" w:eastAsia="zh-CN"/>
        </w:rPr>
      </w:pPr>
      <w:r>
        <w:rPr>
          <w:rFonts w:hint="eastAsia"/>
          <w:sz w:val="28"/>
          <w:szCs w:val="36"/>
          <w:lang w:val="en-US" w:eastAsia="zh-CN"/>
        </w:rPr>
        <w:t>、山西省铸造行业协会主办，大同中车爱碧玺铸造有限公司合办，大同尚镁科技有限公司、禹州市恒利来新材料股份有限公司、致恒（天津）实业有限公司、山西中兵铸造有限公司、河南尚立德新材料科技有限公司、山东旭光得瑞高新材料股份有限公司协办的山西省第35次铸造会议会于24年8月26日上午在大同贵宾楼酒店隆重开幕，本次会议主题为“科技创新驱动  绿色智能转型”，本次会议吸引了来自省内外铸件生产企业、原辅材料、设备仪器仪表、行业媒体单位的300余名会议代表。</w:t>
      </w:r>
    </w:p>
    <w:p>
      <w:pPr>
        <w:jc w:val="both"/>
        <w:rPr>
          <w:rFonts w:hint="eastAsia"/>
          <w:sz w:val="28"/>
          <w:szCs w:val="36"/>
          <w:lang w:val="en-US" w:eastAsia="zh-CN"/>
        </w:rPr>
      </w:pPr>
      <w:r>
        <w:rPr>
          <w:rFonts w:hint="eastAsia"/>
          <w:sz w:val="28"/>
          <w:szCs w:val="36"/>
          <w:lang w:val="en-US" w:eastAsia="zh-CN"/>
        </w:rPr>
        <w:drawing>
          <wp:inline distT="0" distB="0" distL="114300" distR="114300">
            <wp:extent cx="2501900" cy="1124585"/>
            <wp:effectExtent l="0" t="0" r="12700" b="3175"/>
            <wp:docPr id="3" name="图片 3" descr="微信图片_2024082616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40826161801"/>
                    <pic:cNvPicPr>
                      <a:picLocks noChangeAspect="1"/>
                    </pic:cNvPicPr>
                  </pic:nvPicPr>
                  <pic:blipFill>
                    <a:blip r:embed="rId4"/>
                    <a:stretch>
                      <a:fillRect/>
                    </a:stretch>
                  </pic:blipFill>
                  <pic:spPr>
                    <a:xfrm>
                      <a:off x="0" y="0"/>
                      <a:ext cx="2501900" cy="1124585"/>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2492375" cy="1119505"/>
            <wp:effectExtent l="0" t="0" r="6985" b="8255"/>
            <wp:docPr id="5" name="图片 5" descr="微信图片_20240826161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40826161800"/>
                    <pic:cNvPicPr>
                      <a:picLocks noChangeAspect="1"/>
                    </pic:cNvPicPr>
                  </pic:nvPicPr>
                  <pic:blipFill>
                    <a:blip r:embed="rId5"/>
                    <a:stretch>
                      <a:fillRect/>
                    </a:stretch>
                  </pic:blipFill>
                  <pic:spPr>
                    <a:xfrm>
                      <a:off x="0" y="0"/>
                      <a:ext cx="2492375" cy="1119505"/>
                    </a:xfrm>
                    <a:prstGeom prst="rect">
                      <a:avLst/>
                    </a:prstGeom>
                  </pic:spPr>
                </pic:pic>
              </a:graphicData>
            </a:graphic>
          </wp:inline>
        </w:drawing>
      </w:r>
    </w:p>
    <w:p>
      <w:pPr>
        <w:jc w:val="center"/>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 xml:space="preserve">年会大会开幕式              </w:t>
      </w:r>
    </w:p>
    <w:p>
      <w:pPr>
        <w:ind w:firstLine="560"/>
        <w:jc w:val="both"/>
        <w:rPr>
          <w:rFonts w:hint="eastAsia"/>
          <w:sz w:val="28"/>
          <w:szCs w:val="36"/>
          <w:lang w:val="en-US" w:eastAsia="zh-CN"/>
        </w:rPr>
      </w:pPr>
      <w:r>
        <w:rPr>
          <w:rFonts w:hint="eastAsia"/>
          <w:sz w:val="28"/>
          <w:szCs w:val="36"/>
          <w:lang w:val="en-US" w:eastAsia="zh-CN"/>
        </w:rPr>
        <w:t>26日上午8.15进行了会议开幕式，出席开幕式的有：中国铸造协会常务副会长张志勇；中国机械工程学会铸造分会副秘书长刘秀玲；山西省工业和信息化装备处副处长臧俊民；山西省贸促会贸易促进部副部长赵利君；山西省机械电子工业联合会副会长孙跃生；山西省机械工程学会铸造分会理事长、太原科技大学副校长侯华；山西省铸造行业协会会长王录才；山西省铸造行业协会监事长张晓辉；山西省机械工程学会铸造分会秘书长游志勇；大同市企业家联合会会长范志远；大同中车爱碧玺铸造有限公司副总经理李响以及来自全国各地的专家、学者各相关部门、地方铸造协会负责人代表。开幕式上还进行了山西省铸造行业优秀产品、第三届山西省铸造协（学）会专家委员会颁发证书和山西省铸造行业智能制造供应商能力图谱发布仪式。</w:t>
      </w:r>
    </w:p>
    <w:p>
      <w:pPr>
        <w:jc w:val="both"/>
        <w:rPr>
          <w:rFonts w:hint="eastAsia"/>
          <w:sz w:val="28"/>
          <w:szCs w:val="36"/>
          <w:lang w:val="en-US" w:eastAsia="zh-CN"/>
        </w:rPr>
      </w:pPr>
      <w:r>
        <w:rPr>
          <w:rFonts w:hint="eastAsia"/>
          <w:sz w:val="28"/>
          <w:szCs w:val="36"/>
          <w:lang w:val="en-US" w:eastAsia="zh-CN"/>
        </w:rPr>
        <w:drawing>
          <wp:inline distT="0" distB="0" distL="114300" distR="114300">
            <wp:extent cx="2458085" cy="1416050"/>
            <wp:effectExtent l="0" t="0" r="10795" b="1270"/>
            <wp:docPr id="2" name="图片 2" descr="微信图片_20240829075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829075720"/>
                    <pic:cNvPicPr>
                      <a:picLocks noChangeAspect="1"/>
                    </pic:cNvPicPr>
                  </pic:nvPicPr>
                  <pic:blipFill>
                    <a:blip r:embed="rId6"/>
                    <a:srcRect r="22003"/>
                    <a:stretch>
                      <a:fillRect/>
                    </a:stretch>
                  </pic:blipFill>
                  <pic:spPr>
                    <a:xfrm>
                      <a:off x="0" y="0"/>
                      <a:ext cx="2458085" cy="1416050"/>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2502535" cy="1410970"/>
            <wp:effectExtent l="0" t="0" r="12065" b="6350"/>
            <wp:docPr id="4" name="图片 4" descr="微信图片_20240829160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40829160917"/>
                    <pic:cNvPicPr>
                      <a:picLocks noChangeAspect="1"/>
                    </pic:cNvPicPr>
                  </pic:nvPicPr>
                  <pic:blipFill>
                    <a:blip r:embed="rId7"/>
                    <a:stretch>
                      <a:fillRect/>
                    </a:stretch>
                  </pic:blipFill>
                  <pic:spPr>
                    <a:xfrm>
                      <a:off x="0" y="0"/>
                      <a:ext cx="2502535" cy="1410970"/>
                    </a:xfrm>
                    <a:prstGeom prst="rect">
                      <a:avLst/>
                    </a:prstGeom>
                  </pic:spPr>
                </pic:pic>
              </a:graphicData>
            </a:graphic>
          </wp:inline>
        </w:drawing>
      </w:r>
    </w:p>
    <w:p>
      <w:pPr>
        <w:ind w:firstLine="281" w:firstLineChars="100"/>
        <w:jc w:val="both"/>
        <w:rPr>
          <w:rFonts w:hint="default" w:ascii="仿宋" w:hAnsi="仿宋" w:eastAsia="仿宋" w:cs="仿宋"/>
          <w:b/>
          <w:bCs/>
          <w:sz w:val="28"/>
          <w:szCs w:val="36"/>
          <w:lang w:val="en-US" w:eastAsia="zh-CN"/>
        </w:rPr>
      </w:pPr>
      <w:r>
        <w:rPr>
          <w:rFonts w:hint="eastAsia" w:ascii="仿宋" w:hAnsi="仿宋" w:eastAsia="仿宋" w:cs="仿宋"/>
          <w:b/>
          <w:bCs/>
          <w:sz w:val="28"/>
          <w:szCs w:val="36"/>
          <w:lang w:val="en-US" w:eastAsia="zh-CN"/>
        </w:rPr>
        <w:t>代表观看摄影大赛获奖作品             会议展览现场</w:t>
      </w:r>
    </w:p>
    <w:p>
      <w:pPr>
        <w:ind w:firstLine="560"/>
        <w:jc w:val="both"/>
        <w:rPr>
          <w:rFonts w:hint="eastAsia"/>
          <w:sz w:val="28"/>
          <w:szCs w:val="36"/>
          <w:lang w:val="en-US" w:eastAsia="zh-CN"/>
        </w:rPr>
      </w:pPr>
      <w:r>
        <w:rPr>
          <w:rFonts w:hint="eastAsia"/>
          <w:sz w:val="28"/>
          <w:szCs w:val="36"/>
          <w:lang w:val="en-US" w:eastAsia="zh-CN"/>
        </w:rPr>
        <w:t>与开幕式一同进行的还有铸造行业原辅材料、设备仪器仪表、行业媒体展览活动，第三届“恒瑞杯”摄影大赛获奖展品展示，省内外朋友欢聚一堂，互相交流沟通、上下游企业互通有无，探讨合作，理清行业发展趋势。</w:t>
      </w:r>
    </w:p>
    <w:p>
      <w:pPr>
        <w:jc w:val="both"/>
        <w:rPr>
          <w:rFonts w:hint="eastAsia"/>
          <w:sz w:val="28"/>
          <w:szCs w:val="36"/>
          <w:lang w:val="en-US" w:eastAsia="zh-CN"/>
        </w:rPr>
      </w:pPr>
      <w:r>
        <w:rPr>
          <w:rFonts w:hint="eastAsia"/>
          <w:sz w:val="28"/>
          <w:szCs w:val="36"/>
          <w:lang w:val="en-US" w:eastAsia="zh-CN"/>
        </w:rPr>
        <w:t xml:space="preserve"> </w:t>
      </w:r>
      <w:r>
        <w:rPr>
          <w:rFonts w:hint="eastAsia"/>
          <w:sz w:val="28"/>
          <w:szCs w:val="36"/>
          <w:lang w:val="en-US" w:eastAsia="zh-CN"/>
        </w:rPr>
        <w:drawing>
          <wp:inline distT="0" distB="0" distL="114300" distR="114300">
            <wp:extent cx="2357755" cy="1769110"/>
            <wp:effectExtent l="0" t="0" r="4445" b="13970"/>
            <wp:docPr id="8" name="图片 8" descr="微信图片_2024082916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40829162007"/>
                    <pic:cNvPicPr>
                      <a:picLocks noChangeAspect="1"/>
                    </pic:cNvPicPr>
                  </pic:nvPicPr>
                  <pic:blipFill>
                    <a:blip r:embed="rId8"/>
                    <a:stretch>
                      <a:fillRect/>
                    </a:stretch>
                  </pic:blipFill>
                  <pic:spPr>
                    <a:xfrm>
                      <a:off x="0" y="0"/>
                      <a:ext cx="2357755" cy="1769110"/>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2325370" cy="1744345"/>
            <wp:effectExtent l="0" t="0" r="6350" b="8255"/>
            <wp:docPr id="7" name="图片 7" descr="微信图片_2024082916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40829162006"/>
                    <pic:cNvPicPr>
                      <a:picLocks noChangeAspect="1"/>
                    </pic:cNvPicPr>
                  </pic:nvPicPr>
                  <pic:blipFill>
                    <a:blip r:embed="rId9"/>
                    <a:stretch>
                      <a:fillRect/>
                    </a:stretch>
                  </pic:blipFill>
                  <pic:spPr>
                    <a:xfrm>
                      <a:off x="0" y="0"/>
                      <a:ext cx="2325370" cy="1744345"/>
                    </a:xfrm>
                    <a:prstGeom prst="rect">
                      <a:avLst/>
                    </a:prstGeom>
                  </pic:spPr>
                </pic:pic>
              </a:graphicData>
            </a:graphic>
          </wp:inline>
        </w:drawing>
      </w:r>
    </w:p>
    <w:p>
      <w:pPr>
        <w:jc w:val="both"/>
        <w:rPr>
          <w:rFonts w:hint="default"/>
          <w:sz w:val="28"/>
          <w:szCs w:val="36"/>
          <w:lang w:val="en-US" w:eastAsia="zh-CN"/>
        </w:rPr>
      </w:pPr>
      <w:r>
        <w:rPr>
          <w:rFonts w:hint="eastAsia"/>
          <w:sz w:val="28"/>
          <w:szCs w:val="36"/>
          <w:lang w:val="en-US" w:eastAsia="zh-CN"/>
        </w:rPr>
        <w:t xml:space="preserve">    </w:t>
      </w:r>
      <w:r>
        <w:rPr>
          <w:rFonts w:hint="eastAsia" w:ascii="仿宋" w:hAnsi="仿宋" w:eastAsia="仿宋" w:cs="仿宋"/>
          <w:b/>
          <w:bCs/>
          <w:sz w:val="28"/>
          <w:szCs w:val="36"/>
          <w:lang w:val="en-US" w:eastAsia="zh-CN"/>
        </w:rPr>
        <w:t>吴铁明高工做会议报告           张志勇会长做会议报告</w:t>
      </w:r>
    </w:p>
    <w:p>
      <w:pPr>
        <w:ind w:firstLine="560"/>
        <w:jc w:val="both"/>
        <w:rPr>
          <w:rFonts w:hint="eastAsia"/>
          <w:sz w:val="28"/>
          <w:szCs w:val="36"/>
          <w:lang w:val="en-US" w:eastAsia="zh-CN"/>
        </w:rPr>
      </w:pPr>
      <w:r>
        <w:rPr>
          <w:rFonts w:hint="eastAsia"/>
          <w:sz w:val="28"/>
          <w:szCs w:val="36"/>
          <w:lang w:val="en-US" w:eastAsia="zh-CN"/>
        </w:rPr>
        <w:t>开幕式结束后，会议进入报告阶段。会议报告分上下午两个阶段，报告有：1）中国铸造协会常务副会长张志勇的铸造行业践行双碳之路径方向；2）上海汽轮机厂有限公司教授级高工吴铁明的铸造行业如何高端化发展提出思路</w:t>
      </w:r>
      <w:r>
        <w:rPr>
          <w:rFonts w:hint="default"/>
          <w:sz w:val="28"/>
          <w:szCs w:val="36"/>
          <w:lang w:val="en-US" w:eastAsia="zh-CN"/>
        </w:rPr>
        <w:t>新能源发展形势下的电站设备铸锻件需求及铸造企业发展</w:t>
      </w:r>
      <w:r>
        <w:rPr>
          <w:rFonts w:hint="eastAsia"/>
          <w:sz w:val="28"/>
          <w:szCs w:val="36"/>
          <w:lang w:val="en-US" w:eastAsia="zh-CN"/>
        </w:rPr>
        <w:t>；3）大同中车爱碧玺铸造有限公司技术总监邱风斌的铸钢车轮发展历程；4）国家智能铸造产业创新中心总经理杨军就铸造企业与园区智改数转新路径与案例进行了解析；5）晶瓷(北京)新材料科技有限公司李建强对3D打印结合邦尼树脂自硬砂在铸造生产中的应用进行了报告；6）东风汽车公司铸造二厂原技术厂长、中国铸造协会专家委委员教授级高工武炳焕就汽车铸造业现状与发展趋势与大家进行了分享等总计19</w:t>
      </w:r>
      <w:bookmarkStart w:id="0" w:name="_GoBack"/>
      <w:bookmarkEnd w:id="0"/>
      <w:r>
        <w:rPr>
          <w:rFonts w:hint="eastAsia"/>
          <w:sz w:val="28"/>
          <w:szCs w:val="36"/>
          <w:lang w:val="en-US" w:eastAsia="zh-CN"/>
        </w:rPr>
        <w:t>个报告。既有行业发展趋势、铸造行业数智化转型升级路径、还有园区招商、企业信息发布等内容。</w:t>
      </w:r>
    </w:p>
    <w:p>
      <w:pPr>
        <w:jc w:val="both"/>
        <w:rPr>
          <w:rFonts w:hint="eastAsia"/>
          <w:sz w:val="28"/>
          <w:szCs w:val="36"/>
          <w:lang w:val="en-US" w:eastAsia="zh-CN"/>
        </w:rPr>
      </w:pPr>
      <w:r>
        <w:rPr>
          <w:rFonts w:hint="eastAsia"/>
          <w:sz w:val="28"/>
          <w:szCs w:val="36"/>
          <w:lang w:val="en-US" w:eastAsia="zh-CN"/>
        </w:rPr>
        <w:drawing>
          <wp:inline distT="0" distB="0" distL="114300" distR="114300">
            <wp:extent cx="2432685" cy="1541145"/>
            <wp:effectExtent l="0" t="0" r="5715" b="13335"/>
            <wp:docPr id="10" name="图片 10" descr="微信图片_20240830084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40830084457"/>
                    <pic:cNvPicPr>
                      <a:picLocks noChangeAspect="1"/>
                    </pic:cNvPicPr>
                  </pic:nvPicPr>
                  <pic:blipFill>
                    <a:blip r:embed="rId10"/>
                    <a:stretch>
                      <a:fillRect/>
                    </a:stretch>
                  </pic:blipFill>
                  <pic:spPr>
                    <a:xfrm>
                      <a:off x="0" y="0"/>
                      <a:ext cx="2432685" cy="1541145"/>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2719070" cy="1555750"/>
            <wp:effectExtent l="0" t="0" r="8890" b="13970"/>
            <wp:docPr id="9" name="图片 9" descr="微信图片_20240830084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40830084503"/>
                    <pic:cNvPicPr>
                      <a:picLocks noChangeAspect="1"/>
                    </pic:cNvPicPr>
                  </pic:nvPicPr>
                  <pic:blipFill>
                    <a:blip r:embed="rId11"/>
                    <a:stretch>
                      <a:fillRect/>
                    </a:stretch>
                  </pic:blipFill>
                  <pic:spPr>
                    <a:xfrm>
                      <a:off x="0" y="0"/>
                      <a:ext cx="2719070" cy="1555750"/>
                    </a:xfrm>
                    <a:prstGeom prst="rect">
                      <a:avLst/>
                    </a:prstGeom>
                  </pic:spPr>
                </pic:pic>
              </a:graphicData>
            </a:graphic>
          </wp:inline>
        </w:drawing>
      </w:r>
    </w:p>
    <w:p>
      <w:pPr>
        <w:ind w:firstLine="562" w:firstLineChars="200"/>
        <w:jc w:val="both"/>
        <w:rPr>
          <w:rFonts w:hint="default"/>
          <w:sz w:val="28"/>
          <w:szCs w:val="36"/>
          <w:lang w:val="en-US" w:eastAsia="zh-CN"/>
        </w:rPr>
      </w:pPr>
      <w:r>
        <w:rPr>
          <w:rFonts w:hint="eastAsia" w:ascii="仿宋" w:hAnsi="仿宋" w:eastAsia="仿宋" w:cs="仿宋"/>
          <w:b/>
          <w:bCs/>
          <w:sz w:val="28"/>
          <w:szCs w:val="36"/>
          <w:lang w:val="en-US" w:eastAsia="zh-CN"/>
        </w:rPr>
        <w:t>消失模专题研讨会合影          铸件采购洽谈会合影</w:t>
      </w:r>
    </w:p>
    <w:p>
      <w:pPr>
        <w:ind w:firstLine="560" w:firstLineChars="200"/>
        <w:jc w:val="both"/>
        <w:rPr>
          <w:rFonts w:hint="eastAsia"/>
          <w:sz w:val="28"/>
          <w:szCs w:val="36"/>
          <w:lang w:val="en-US" w:eastAsia="zh-CN"/>
        </w:rPr>
      </w:pPr>
      <w:r>
        <w:rPr>
          <w:rFonts w:hint="eastAsia"/>
          <w:sz w:val="28"/>
          <w:szCs w:val="36"/>
          <w:lang w:val="en-US" w:eastAsia="zh-CN"/>
        </w:rPr>
        <w:t>27日上午会议进入专题报告环节，分别进行了1）铸件采购洽谈专题会议；2）消失模铸造专题研讨会。铸件采购洽谈会上邀请了国内外知名的国有企业、外贸出口企业、铸件下游制造企业前来交流洽谈，增强同行之间的交流与合作，促进山西铸造行业高质量发展，释放山西铸造行业产能，这是山西铸协的一次新的尝试，会议效果远超预期，更加坚定了协会将继续在此方面深耕，为企业提供更好的商务服务。消失模铸造专题研讨会也吸引了众多山西从事消失模铸造的企业，众所周知，山西也是较早使用消失模铸造工艺的省份，使用企业数量众多，研讨会上气氛活跃，大家答疑解惑，彼此提高。</w:t>
      </w:r>
    </w:p>
    <w:p>
      <w:pPr>
        <w:jc w:val="both"/>
        <w:rPr>
          <w:rFonts w:hint="eastAsia"/>
          <w:sz w:val="28"/>
          <w:szCs w:val="36"/>
          <w:lang w:val="en-US" w:eastAsia="zh-CN"/>
        </w:rPr>
      </w:pPr>
      <w:r>
        <w:rPr>
          <w:rFonts w:hint="eastAsia"/>
          <w:sz w:val="28"/>
          <w:szCs w:val="36"/>
          <w:lang w:val="en-US" w:eastAsia="zh-CN"/>
        </w:rPr>
        <w:drawing>
          <wp:inline distT="0" distB="0" distL="114300" distR="114300">
            <wp:extent cx="2437130" cy="1828800"/>
            <wp:effectExtent l="0" t="0" r="1270" b="0"/>
            <wp:docPr id="14" name="图片 14" descr="微信图片_2024083009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微信图片_20240830091109"/>
                    <pic:cNvPicPr>
                      <a:picLocks noChangeAspect="1"/>
                    </pic:cNvPicPr>
                  </pic:nvPicPr>
                  <pic:blipFill>
                    <a:blip r:embed="rId12"/>
                    <a:stretch>
                      <a:fillRect/>
                    </a:stretch>
                  </pic:blipFill>
                  <pic:spPr>
                    <a:xfrm>
                      <a:off x="0" y="0"/>
                      <a:ext cx="2437130" cy="1828800"/>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2354580" cy="1766570"/>
            <wp:effectExtent l="0" t="0" r="7620" b="1270"/>
            <wp:docPr id="13" name="图片 13" descr="微信图片_2024083009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40830091112"/>
                    <pic:cNvPicPr>
                      <a:picLocks noChangeAspect="1"/>
                    </pic:cNvPicPr>
                  </pic:nvPicPr>
                  <pic:blipFill>
                    <a:blip r:embed="rId13"/>
                    <a:stretch>
                      <a:fillRect/>
                    </a:stretch>
                  </pic:blipFill>
                  <pic:spPr>
                    <a:xfrm>
                      <a:off x="0" y="0"/>
                      <a:ext cx="2354580" cy="1766570"/>
                    </a:xfrm>
                    <a:prstGeom prst="rect">
                      <a:avLst/>
                    </a:prstGeom>
                  </pic:spPr>
                </pic:pic>
              </a:graphicData>
            </a:graphic>
          </wp:inline>
        </w:drawing>
      </w:r>
    </w:p>
    <w:p>
      <w:pPr>
        <w:jc w:val="center"/>
        <w:rPr>
          <w:rFonts w:hint="eastAsia" w:ascii="仿宋" w:hAnsi="仿宋" w:eastAsia="仿宋" w:cs="仿宋"/>
          <w:sz w:val="28"/>
          <w:szCs w:val="36"/>
          <w:lang w:val="en-US" w:eastAsia="zh-CN"/>
        </w:rPr>
      </w:pPr>
      <w:r>
        <w:rPr>
          <w:rFonts w:hint="eastAsia" w:ascii="仿宋" w:hAnsi="仿宋" w:eastAsia="仿宋" w:cs="仿宋"/>
          <w:sz w:val="28"/>
          <w:szCs w:val="36"/>
          <w:lang w:val="en-US" w:eastAsia="zh-CN"/>
        </w:rPr>
        <w:t>会议代表参观爱碧玺公司</w:t>
      </w:r>
    </w:p>
    <w:p>
      <w:pPr>
        <w:jc w:val="both"/>
        <w:rPr>
          <w:rFonts w:hint="eastAsia"/>
          <w:sz w:val="28"/>
          <w:szCs w:val="36"/>
          <w:lang w:val="en-US" w:eastAsia="zh-CN"/>
        </w:rPr>
      </w:pPr>
      <w:r>
        <w:rPr>
          <w:rFonts w:hint="eastAsia"/>
          <w:sz w:val="28"/>
          <w:szCs w:val="36"/>
          <w:lang w:val="en-US" w:eastAsia="zh-CN"/>
        </w:rPr>
        <w:drawing>
          <wp:inline distT="0" distB="0" distL="114300" distR="114300">
            <wp:extent cx="2582545" cy="1665605"/>
            <wp:effectExtent l="0" t="0" r="8255" b="10795"/>
            <wp:docPr id="11" name="图片 11" descr="微信图片_2024083009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40830091135"/>
                    <pic:cNvPicPr>
                      <a:picLocks noChangeAspect="1"/>
                    </pic:cNvPicPr>
                  </pic:nvPicPr>
                  <pic:blipFill>
                    <a:blip r:embed="rId14"/>
                    <a:stretch>
                      <a:fillRect/>
                    </a:stretch>
                  </pic:blipFill>
                  <pic:spPr>
                    <a:xfrm>
                      <a:off x="0" y="0"/>
                      <a:ext cx="2582545" cy="1665605"/>
                    </a:xfrm>
                    <a:prstGeom prst="rect">
                      <a:avLst/>
                    </a:prstGeom>
                  </pic:spPr>
                </pic:pic>
              </a:graphicData>
            </a:graphic>
          </wp:inline>
        </w:drawing>
      </w:r>
      <w:r>
        <w:rPr>
          <w:rFonts w:hint="eastAsia"/>
          <w:sz w:val="28"/>
          <w:szCs w:val="36"/>
          <w:lang w:val="en-US" w:eastAsia="zh-CN"/>
        </w:rPr>
        <w:t xml:space="preserve">   </w:t>
      </w:r>
      <w:r>
        <w:rPr>
          <w:rFonts w:hint="eastAsia"/>
          <w:sz w:val="28"/>
          <w:szCs w:val="36"/>
          <w:lang w:val="en-US" w:eastAsia="zh-CN"/>
        </w:rPr>
        <w:drawing>
          <wp:inline distT="0" distB="0" distL="114300" distR="114300">
            <wp:extent cx="2392680" cy="1684020"/>
            <wp:effectExtent l="0" t="0" r="0" b="7620"/>
            <wp:docPr id="12" name="图片 12" descr="微信图片_20240830091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240830091115"/>
                    <pic:cNvPicPr>
                      <a:picLocks noChangeAspect="1"/>
                    </pic:cNvPicPr>
                  </pic:nvPicPr>
                  <pic:blipFill>
                    <a:blip r:embed="rId15"/>
                    <a:srcRect t="4946" r="-1290"/>
                    <a:stretch>
                      <a:fillRect/>
                    </a:stretch>
                  </pic:blipFill>
                  <pic:spPr>
                    <a:xfrm>
                      <a:off x="0" y="0"/>
                      <a:ext cx="2392680" cy="1684020"/>
                    </a:xfrm>
                    <a:prstGeom prst="rect">
                      <a:avLst/>
                    </a:prstGeom>
                  </pic:spPr>
                </pic:pic>
              </a:graphicData>
            </a:graphic>
          </wp:inline>
        </w:drawing>
      </w:r>
    </w:p>
    <w:p>
      <w:pPr>
        <w:jc w:val="both"/>
        <w:rPr>
          <w:rFonts w:hint="default" w:ascii="仿宋" w:hAnsi="仿宋" w:eastAsia="仿宋" w:cs="仿宋"/>
          <w:sz w:val="28"/>
          <w:szCs w:val="36"/>
          <w:lang w:val="en-US" w:eastAsia="zh-CN"/>
        </w:rPr>
      </w:pPr>
      <w:r>
        <w:rPr>
          <w:rFonts w:hint="eastAsia"/>
          <w:sz w:val="28"/>
          <w:szCs w:val="36"/>
          <w:lang w:val="en-US" w:eastAsia="zh-CN"/>
        </w:rPr>
        <w:t xml:space="preserve">  </w:t>
      </w:r>
      <w:r>
        <w:rPr>
          <w:rFonts w:hint="eastAsia" w:ascii="仿宋" w:hAnsi="仿宋" w:eastAsia="仿宋" w:cs="仿宋"/>
          <w:sz w:val="28"/>
          <w:szCs w:val="36"/>
          <w:lang w:val="en-US" w:eastAsia="zh-CN"/>
        </w:rPr>
        <w:t xml:space="preserve"> 会议代表参观中兵公司</w:t>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ab/>
      </w:r>
      <w:r>
        <w:rPr>
          <w:rFonts w:hint="eastAsia" w:ascii="仿宋" w:hAnsi="仿宋" w:eastAsia="仿宋" w:cs="仿宋"/>
          <w:sz w:val="28"/>
          <w:szCs w:val="36"/>
          <w:lang w:val="en-US" w:eastAsia="zh-CN"/>
        </w:rPr>
        <w:t>会议代表参观大同尚镁公司</w:t>
      </w:r>
    </w:p>
    <w:p>
      <w:pPr>
        <w:jc w:val="both"/>
        <w:rPr>
          <w:rFonts w:hint="default"/>
          <w:sz w:val="28"/>
          <w:szCs w:val="36"/>
          <w:lang w:val="en-US" w:eastAsia="zh-CN"/>
        </w:rPr>
      </w:pPr>
      <w:r>
        <w:rPr>
          <w:rFonts w:hint="eastAsia"/>
          <w:sz w:val="28"/>
          <w:szCs w:val="36"/>
          <w:lang w:val="en-US" w:eastAsia="zh-CN"/>
        </w:rPr>
        <w:t xml:space="preserve">    27日下午，大会进入参观现场交流环节，首先参观的是本次会议合办单位大同中车爱碧玺铸造有限公司，也是协会副会长单位，该公司是中车大同电力机车公司与美国ABC铁路产品中国投资公司共同投资的一家以生产铸钢车轮为主要产品的合资公司，年产值约6亿元；第二个参观企业是山西中兵铸造有限公司，为协会副会长单位，该公司中国兵器集团公司有色金属铸造基地，拥有世界一流的有色金属铸造科研和4000吨铝合金铸造产业化生产线，主要产品为铝合金机体、气缸盖、传动箱等产品，覆盖兵器、航空、航天等领域；参观最后一站来到了大同尚镁科技有限公司，该公司为协会常务理事单位，是科技部挂牌的“国家镁及镁合金产业基地”，公司拥有25年的镁合金经验，具有矿山、拉铸、挤压、轧制、压铸、机加工和表面处理全产业链，产品包括镁合金笔记本电脑材料和零部件、镁合金汽车材料和零部件和镁合金页岩气、页岩油开采工具等等。</w:t>
      </w:r>
    </w:p>
    <w:p>
      <w:pPr>
        <w:jc w:val="both"/>
        <w:rPr>
          <w:rFonts w:hint="default"/>
          <w:sz w:val="28"/>
          <w:szCs w:val="36"/>
          <w:lang w:val="en-US" w:eastAsia="zh-CN"/>
        </w:rPr>
      </w:pPr>
      <w:r>
        <w:rPr>
          <w:rFonts w:hint="default"/>
          <w:sz w:val="28"/>
          <w:szCs w:val="36"/>
          <w:lang w:val="en-US" w:eastAsia="zh-CN"/>
        </w:rPr>
        <w:drawing>
          <wp:inline distT="0" distB="0" distL="114300" distR="114300">
            <wp:extent cx="5229225" cy="2628900"/>
            <wp:effectExtent l="0" t="0" r="13335" b="7620"/>
            <wp:docPr id="15" name="图片 15" descr="微信图片_20240830091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40830091522"/>
                    <pic:cNvPicPr>
                      <a:picLocks noChangeAspect="1"/>
                    </pic:cNvPicPr>
                  </pic:nvPicPr>
                  <pic:blipFill>
                    <a:blip r:embed="rId16"/>
                    <a:stretch>
                      <a:fillRect/>
                    </a:stretch>
                  </pic:blipFill>
                  <pic:spPr>
                    <a:xfrm>
                      <a:off x="0" y="0"/>
                      <a:ext cx="5229225" cy="2628900"/>
                    </a:xfrm>
                    <a:prstGeom prst="rect">
                      <a:avLst/>
                    </a:prstGeom>
                  </pic:spPr>
                </pic:pic>
              </a:graphicData>
            </a:graphic>
          </wp:inline>
        </w:drawing>
      </w:r>
    </w:p>
    <w:p>
      <w:pPr>
        <w:ind w:firstLine="560" w:firstLineChars="200"/>
        <w:jc w:val="both"/>
        <w:rPr>
          <w:rFonts w:hint="default"/>
          <w:sz w:val="28"/>
          <w:szCs w:val="36"/>
          <w:lang w:val="en-US" w:eastAsia="zh-CN"/>
        </w:rPr>
      </w:pPr>
      <w:r>
        <w:rPr>
          <w:rFonts w:hint="eastAsia"/>
          <w:sz w:val="28"/>
          <w:szCs w:val="36"/>
          <w:lang w:val="en-US" w:eastAsia="zh-CN"/>
        </w:rPr>
        <w:t>本次会议是继2014年后，山西铸造年会10年后回到大同召开，本次会议也是近几年参会代表最多的一年，在行业不断下行的当下，协会将继续为企业发声，为行业呼吁，探索市场规律，与山西铸造行业一同砥砺前行，共渡难关。</w:t>
      </w:r>
    </w:p>
    <w:p>
      <w:pPr>
        <w:jc w:val="both"/>
        <w:rPr>
          <w:rFonts w:hint="default"/>
          <w:sz w:val="28"/>
          <w:szCs w:val="36"/>
          <w:lang w:val="en-US" w:eastAsia="zh-CN"/>
        </w:rPr>
      </w:pPr>
      <w:r>
        <w:rPr>
          <w:rFonts w:hint="eastAsia"/>
          <w:sz w:val="28"/>
          <w:szCs w:val="36"/>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5E32C8"/>
    <w:rsid w:val="007414DC"/>
    <w:rsid w:val="02C60FDE"/>
    <w:rsid w:val="02F63122"/>
    <w:rsid w:val="030531C1"/>
    <w:rsid w:val="03926182"/>
    <w:rsid w:val="051156AD"/>
    <w:rsid w:val="068857F8"/>
    <w:rsid w:val="068D1E41"/>
    <w:rsid w:val="06B85AD8"/>
    <w:rsid w:val="07057889"/>
    <w:rsid w:val="07087975"/>
    <w:rsid w:val="072C1119"/>
    <w:rsid w:val="081063DA"/>
    <w:rsid w:val="089A2B40"/>
    <w:rsid w:val="08D76608"/>
    <w:rsid w:val="091407F0"/>
    <w:rsid w:val="0A131760"/>
    <w:rsid w:val="0AD10E94"/>
    <w:rsid w:val="0B147E57"/>
    <w:rsid w:val="0B490D7B"/>
    <w:rsid w:val="0BC74DBB"/>
    <w:rsid w:val="0E2E2E3A"/>
    <w:rsid w:val="0EEA114F"/>
    <w:rsid w:val="0F767AF7"/>
    <w:rsid w:val="11BD685A"/>
    <w:rsid w:val="122273FF"/>
    <w:rsid w:val="123F3FD8"/>
    <w:rsid w:val="126D53EF"/>
    <w:rsid w:val="13A406C4"/>
    <w:rsid w:val="141C0B4F"/>
    <w:rsid w:val="151F7172"/>
    <w:rsid w:val="15CA178D"/>
    <w:rsid w:val="15CB5F11"/>
    <w:rsid w:val="162725D7"/>
    <w:rsid w:val="18E51ADA"/>
    <w:rsid w:val="191D351E"/>
    <w:rsid w:val="19781737"/>
    <w:rsid w:val="199B5B9B"/>
    <w:rsid w:val="1AA82048"/>
    <w:rsid w:val="1ADB6F91"/>
    <w:rsid w:val="1B267314"/>
    <w:rsid w:val="1CEB2176"/>
    <w:rsid w:val="1D0B1C42"/>
    <w:rsid w:val="1D1E36A9"/>
    <w:rsid w:val="1DB66949"/>
    <w:rsid w:val="1DC26CCE"/>
    <w:rsid w:val="1E0734A5"/>
    <w:rsid w:val="1EA8289D"/>
    <w:rsid w:val="233D2DC0"/>
    <w:rsid w:val="25335A8A"/>
    <w:rsid w:val="265E32C8"/>
    <w:rsid w:val="267B4E15"/>
    <w:rsid w:val="26C411F4"/>
    <w:rsid w:val="27201F2A"/>
    <w:rsid w:val="278A2553"/>
    <w:rsid w:val="285B56EE"/>
    <w:rsid w:val="2BF672A7"/>
    <w:rsid w:val="2C1C469F"/>
    <w:rsid w:val="2C4020BA"/>
    <w:rsid w:val="2CC938BF"/>
    <w:rsid w:val="2D1E4EC2"/>
    <w:rsid w:val="2DEB6EED"/>
    <w:rsid w:val="2E4B5F1C"/>
    <w:rsid w:val="2E6D53C8"/>
    <w:rsid w:val="2E990E56"/>
    <w:rsid w:val="2FED0B16"/>
    <w:rsid w:val="30A0406D"/>
    <w:rsid w:val="30EF31BC"/>
    <w:rsid w:val="326C54F8"/>
    <w:rsid w:val="32DD38EC"/>
    <w:rsid w:val="3391765D"/>
    <w:rsid w:val="34A563A6"/>
    <w:rsid w:val="36760241"/>
    <w:rsid w:val="373334D8"/>
    <w:rsid w:val="3852633D"/>
    <w:rsid w:val="38851AB5"/>
    <w:rsid w:val="38E22681"/>
    <w:rsid w:val="390A78BE"/>
    <w:rsid w:val="393A1F02"/>
    <w:rsid w:val="3AE74C19"/>
    <w:rsid w:val="3AF104D0"/>
    <w:rsid w:val="3D0270C0"/>
    <w:rsid w:val="3D55185C"/>
    <w:rsid w:val="3D8668DB"/>
    <w:rsid w:val="405210FF"/>
    <w:rsid w:val="405470F8"/>
    <w:rsid w:val="40C01095"/>
    <w:rsid w:val="40CE2D44"/>
    <w:rsid w:val="40EE1BE6"/>
    <w:rsid w:val="433E3642"/>
    <w:rsid w:val="43A0317D"/>
    <w:rsid w:val="444A525C"/>
    <w:rsid w:val="457A0CBF"/>
    <w:rsid w:val="45CC301B"/>
    <w:rsid w:val="45FD795C"/>
    <w:rsid w:val="465935A5"/>
    <w:rsid w:val="47983E85"/>
    <w:rsid w:val="47AC25C5"/>
    <w:rsid w:val="47AE7AE0"/>
    <w:rsid w:val="47FE6B29"/>
    <w:rsid w:val="484A40E4"/>
    <w:rsid w:val="494D51E7"/>
    <w:rsid w:val="4A2C5DE6"/>
    <w:rsid w:val="4AC75A29"/>
    <w:rsid w:val="4ADD3879"/>
    <w:rsid w:val="4B3C092F"/>
    <w:rsid w:val="4C1B5C69"/>
    <w:rsid w:val="4C2E4335"/>
    <w:rsid w:val="4D9A476E"/>
    <w:rsid w:val="4DB833B7"/>
    <w:rsid w:val="4E75305A"/>
    <w:rsid w:val="4EFF2383"/>
    <w:rsid w:val="4F557D45"/>
    <w:rsid w:val="4FF96352"/>
    <w:rsid w:val="509F0BA8"/>
    <w:rsid w:val="50EB1999"/>
    <w:rsid w:val="5129066B"/>
    <w:rsid w:val="517E7AA8"/>
    <w:rsid w:val="5240443B"/>
    <w:rsid w:val="529B4A5D"/>
    <w:rsid w:val="53114F1A"/>
    <w:rsid w:val="5422206A"/>
    <w:rsid w:val="544C4E80"/>
    <w:rsid w:val="55D17682"/>
    <w:rsid w:val="569636D8"/>
    <w:rsid w:val="59964595"/>
    <w:rsid w:val="5BA0542A"/>
    <w:rsid w:val="5DE670F0"/>
    <w:rsid w:val="60071C0F"/>
    <w:rsid w:val="60140701"/>
    <w:rsid w:val="611960F7"/>
    <w:rsid w:val="62DA18B8"/>
    <w:rsid w:val="635103CC"/>
    <w:rsid w:val="645612BF"/>
    <w:rsid w:val="647A5913"/>
    <w:rsid w:val="64CE5347"/>
    <w:rsid w:val="655E1FF2"/>
    <w:rsid w:val="658819A3"/>
    <w:rsid w:val="659552B2"/>
    <w:rsid w:val="65972A01"/>
    <w:rsid w:val="66D15CDD"/>
    <w:rsid w:val="66D736E0"/>
    <w:rsid w:val="680046A9"/>
    <w:rsid w:val="686D28B0"/>
    <w:rsid w:val="688E1B50"/>
    <w:rsid w:val="69280212"/>
    <w:rsid w:val="69FB7986"/>
    <w:rsid w:val="6A276E75"/>
    <w:rsid w:val="6ACA720C"/>
    <w:rsid w:val="6B412AE9"/>
    <w:rsid w:val="6BE62711"/>
    <w:rsid w:val="6C2F2D98"/>
    <w:rsid w:val="6DCB4EDE"/>
    <w:rsid w:val="6F703791"/>
    <w:rsid w:val="6FDF57D8"/>
    <w:rsid w:val="7310533D"/>
    <w:rsid w:val="75605D36"/>
    <w:rsid w:val="756F203C"/>
    <w:rsid w:val="779C7AAC"/>
    <w:rsid w:val="79B84253"/>
    <w:rsid w:val="79E93D7C"/>
    <w:rsid w:val="7A7649FF"/>
    <w:rsid w:val="7B280567"/>
    <w:rsid w:val="7C5D1DE7"/>
    <w:rsid w:val="7CEF0B2C"/>
    <w:rsid w:val="7D5440B4"/>
    <w:rsid w:val="7D786B2E"/>
    <w:rsid w:val="7DC17B32"/>
    <w:rsid w:val="7F1159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2024-08-26T07:23:00Z</dcterms:created>
  <dc:creator>山西省铸造行业协会</dc:creator>
  <cp:lastModifiedBy>山西省铸造行业协会</cp:lastModifiedBy>
  <dcterms:modified xsi:type="dcterms:W3CDTF">2024-08-31T11:03:44Z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ies>
</file>